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КАЗАХСКИЙ НАЦИОНАЛЬНЫЙ УНИВЕРСИТЕТ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ИМЕНИ АЛЬ-ФАРАБИ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Факультет медицины и здравоохранения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Высш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ая школа медицины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Кафедра фундаментальной медицины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Программа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заключительного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 экзамена по дисциплине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8080"/>
        </w:tabs>
        <w:spacing w:before="3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009">
      <w:pPr>
        <w:tabs>
          <w:tab w:val="left" w:leader="none" w:pos="8080"/>
        </w:tabs>
        <w:spacing w:before="3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МОЛЕКУЛЯРНЫЕ ОСНОВЫ ПАТОЛОГИИ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before="3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10 </w:t>
      </w: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319" w:lineRule="auto"/>
        <w:ind w:left="11" w:right="349" w:firstLine="0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Ожидаемые результаты: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Студенты на выпускном экзамене должны продемонстрировать способность: 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before="319" w:lineRule="auto"/>
        <w:ind w:left="426" w:right="349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рименять знания о молекулярных и генетических аспектах генетически детерминированных заболеваний (хромосомных, моногенных, полигенных); понимать принципы генетической диагностики и медико-генетического консультирования 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426" w:right="349" w:hanging="426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рименять знания молекулярно-генетических, биохимических механизмов реакции организма на лекарства и биологически активные соединения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426" w:right="556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онимать биохимические процессы в основных патологических состояниях и генетически обусловленных заболеваниях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426" w:right="152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нтерпретировать результаты конкретных методов молекулярно-генетической диагностики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426" w:right="152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онимать роль соответствующих факторов риска заболеваний для принятия решений с целью их предотвращения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426" w:right="173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бъединить знания о генетике человека, иммунном ответе, биохимических процессах и взаимодействии микро- и макроорганизмов в целях диагностики и индивидуального лечения патологии человека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426" w:right="156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нать фармакокинетические параметры, механизмы абсорбции и биотрансформации лекарственных средств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426" w:right="167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рименять знания фармакодинамики и механизмов действия препаратов при основных патологических процессах (влияющих на кислотно-основное состояние, гемостаз и кроветворение, воспаление, инфекционный процесс, аллергию, аутоиммунитет, онкопроцесс). Знайте виды нежелательных побочных реакций и понимайте возможности их коррекции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426" w:right="151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родемонстрировать способность выявлять пробелы в обучении и разрабатывать стратегии для улучшения собственных знаний и навыков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426" w:right="157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Э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ффективно общаться с другими студентами и преподавателями относительно медицинской и научной информации, четко формулировать их мнения при обсуждении и эффективно работать в качестве члена команды</w:t>
      </w:r>
    </w:p>
    <w:p w:rsidR="00000000" w:rsidDel="00000000" w:rsidP="00000000" w:rsidRDefault="00000000" w:rsidRPr="00000000" w14:paraId="00000016">
      <w:pPr>
        <w:spacing w:before="21" w:lineRule="auto"/>
        <w:ind w:right="15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 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МЕДИЦИНСКАЯ ГЕНЕТИКА</w:t>
      </w:r>
    </w:p>
    <w:p w:rsidR="00000000" w:rsidDel="00000000" w:rsidP="00000000" w:rsidRDefault="00000000" w:rsidRPr="00000000" w14:paraId="00000018">
      <w:pPr>
        <w:jc w:val="left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(</w:t>
      </w:r>
      <w:r w:rsidDel="00000000" w:rsidR="00000000" w:rsidRPr="00000000">
        <w:rPr>
          <w:b w:val="1"/>
          <w:highlight w:val="whit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ECTS)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Утвержденная форма итогового экзамена - письменный экзамен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6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Темы, включенные в итоговый экзамен: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before="3" w:lineRule="auto"/>
        <w:ind w:left="283.46456692913375" w:right="173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Введение в медицинскую генетику. Хромосомные болезни.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(синдром Дауна, синдромы Патау, синдром Эдвардса, синдром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“кошачьего крика”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before="0" w:lineRule="auto"/>
        <w:ind w:left="283.46456692913375" w:right="154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Нарушения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полов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ых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хромосом (трисомия-X, Y-дисомия, синдром Клайнфельтера и синдром Тернера). Кратк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обзор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хромосомных болезней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before="0" w:lineRule="auto"/>
        <w:ind w:left="283.46456692913375" w:right="175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Классические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менделирующие заболевания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: аутосомн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наследование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(фенилкетонурия, галактоземия, алкаптонурия, фруктозурия, муковисцидоз, синдром Марфана, ахондроплазия, синдром Вильсона-Коновалова, гипертрихоз).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283.46456692913375" w:right="177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Классические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менделирующие заболевания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: наслед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ование,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сцепленн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с полом (гемофилия, дальтонизм, ихтиоз, 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highlight w:val="white"/>
          <w:rtl w:val="0"/>
        </w:rPr>
        <w:t xml:space="preserve">синдром Леш–Нояна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, мышечная дистрофия Дюшенна, витаминно-резистентный рахит)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ind w:left="283.46456692913375" w:right="177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Биохимические основы наследственных нарушений обмена веществ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lineRule="auto"/>
        <w:ind w:left="283.46456692913375" w:right="177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Био</w:t>
      </w:r>
      <w:r w:rsidDel="00000000" w:rsidR="00000000" w:rsidRPr="00000000">
        <w:rPr>
          <w:rtl w:val="0"/>
        </w:rPr>
        <w:t xml:space="preserve">химические нарушения при энзимопатии липидного обмена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before="0" w:lineRule="auto"/>
        <w:ind w:left="283.46456692913375" w:right="163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Неменделирующие генетические заболевания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(синдром Прадера-Вилли, синдром Ангельмана , болезнь Хантингтона)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before="0" w:lineRule="auto"/>
        <w:ind w:left="283.46456692913375" w:right="163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Основы популяционной генетики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before="0" w:lineRule="auto"/>
        <w:ind w:left="283.46456692913375" w:right="163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Фармакогенетика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before="0" w:lineRule="auto"/>
        <w:ind w:left="283.46456692913375" w:right="163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Полигенные многофакторные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заболевания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(Сахарный диабет, шизофрения, семейная гиперхолестеринемия, артериальная гипертензия)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before="0" w:lineRule="auto"/>
        <w:ind w:left="283.46456692913375" w:right="163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Онкогенетика и геномика (рак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молочной железы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before="0" w:lineRule="auto"/>
        <w:ind w:left="283.46456692913375" w:right="163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М</w:t>
      </w:r>
      <w:r w:rsidDel="00000000" w:rsidR="00000000" w:rsidRPr="00000000">
        <w:rPr>
          <w:rtl w:val="0"/>
        </w:rPr>
        <w:t xml:space="preserve">етаболические аспекты онкологических заболеваний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ind w:left="283.46456692913375" w:right="185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Полигенные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болезни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: пороки развития (дефект нервной трубки, расщелина губы и неба, дисплазия бедра).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ind w:left="283.46456692913375" w:right="185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Г</w:t>
      </w:r>
      <w:r w:rsidDel="00000000" w:rsidR="00000000" w:rsidRPr="00000000">
        <w:rPr>
          <w:rtl w:val="0"/>
        </w:rPr>
        <w:t xml:space="preserve">енетическое консультирование. Генетическое исследование, профилактика и лечение.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-425" w:right="18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34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Ожидаемые результаты после окончания изучения дисциплины:</w:t>
      </w:r>
    </w:p>
    <w:p w:rsidR="00000000" w:rsidDel="00000000" w:rsidP="00000000" w:rsidRDefault="00000000" w:rsidRPr="00000000" w14:paraId="0000002D">
      <w:pPr>
        <w:ind w:right="34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Применять знания о молекулярных и генетических аспектах генетически детерминированных заболеваний (хромосомных, моногенных, полигенных); понимать принципы генетической диагностики и медико-генетического консультирования </w:t>
      </w:r>
    </w:p>
    <w:p w:rsidR="00000000" w:rsidDel="00000000" w:rsidP="00000000" w:rsidRDefault="00000000" w:rsidRPr="00000000" w14:paraId="0000002E">
      <w:pPr>
        <w:ind w:right="34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Применять знания молекулярно-генетических, биохимических механизмов реакции организма на лекарства и биологически активные соединения</w:t>
      </w:r>
    </w:p>
    <w:p w:rsidR="00000000" w:rsidDel="00000000" w:rsidP="00000000" w:rsidRDefault="00000000" w:rsidRPr="00000000" w14:paraId="0000002F">
      <w:pPr>
        <w:ind w:right="34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Понимать биохимические процессы в основных патологических состояниях и генетически обусловленных заболеваниях</w:t>
      </w:r>
    </w:p>
    <w:p w:rsidR="00000000" w:rsidDel="00000000" w:rsidP="00000000" w:rsidRDefault="00000000" w:rsidRPr="00000000" w14:paraId="00000030">
      <w:pPr>
        <w:ind w:right="34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Примерная типология экзаменационных заданий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2353" w:hanging="2353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Кейс.</w:t>
      </w:r>
    </w:p>
    <w:p w:rsidR="00000000" w:rsidDel="00000000" w:rsidP="00000000" w:rsidRDefault="00000000" w:rsidRPr="00000000" w14:paraId="00000034">
      <w:pPr>
        <w:ind w:left="2353" w:hanging="2353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</w:rPr>
        <w:drawing>
          <wp:inline distB="114300" distT="114300" distL="114300" distR="114300">
            <wp:extent cx="3395663" cy="24891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95663" cy="24891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П.С., 30-летняя здоровая женщина, была на 27 неделе беременности первым ребенком. Ультразвуковое исследование плода на 26 неделе беременности выявило плод женского пола с макроцефалией и ризомелией (укорочением проксимальных сегментов конечностей). Супругу П.С. было 45 лет, он был здоров; у него было трое здоровых детей от предыдущих отношений. Ни один из родителей не имел семейной истории дисплазии скелета, врожденных дефектов или генетических нарушений. Акушер объяснил родителям, что у их плода черты ахондроплазии. Девочку родили на сроке 38 недель путем кесарева сечения. У нее были физические и рентгенологические признаки ахондроплазии, включая лобные выступы, мегалэнцефалию, гипоплазию средней зоны лица, поясничный кифоз, ограниченное разгибание локтей, ризомелию, брахидактилию и гипотонию. В соответствии с ее физическими особенностями, тестирование ДНК выявило мутацию 1138G&gt;A, приводящую к замене глицина на аргинин в кодоне 380 (Giy380Arg) в гене рецептора 3 фактора роста фибробластов (FGFR: JJ.)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Типы вопросов: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ind w:left="283.46456692913375" w:hanging="360"/>
        <w:jc w:val="both"/>
        <w:rPr/>
      </w:pPr>
      <w:r w:rsidDel="00000000" w:rsidR="00000000" w:rsidRPr="00000000">
        <w:rPr>
          <w:rtl w:val="0"/>
        </w:rPr>
        <w:t xml:space="preserve">Объясните основные генетические данные/символы, приведенные для этого заболевания в OMIM (I уровень).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Каковы основные особенности наследования этой генетической группы болезней? (I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Напишите об основных причинах, приводящих к этому заболеванию? (I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Какова эпидемиология этого заболевания? Уровень распространенности? (I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Какие генетические варианты этого заболевания вам известны? (I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ind w:left="283.46456692913375" w:hanging="360"/>
        <w:rPr/>
      </w:pPr>
      <w:r w:rsidDel="00000000" w:rsidR="00000000" w:rsidRPr="00000000">
        <w:rPr>
          <w:rtl w:val="0"/>
        </w:rPr>
        <w:t xml:space="preserve">Какие фенотипические формы этого заболевания известны? Объясните причины фенотипического разнообразия. (I уровень)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Опишите (составьте) генеалогическое древо пробанда? (II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ind w:left="283.46456692913375" w:hanging="360"/>
        <w:rPr/>
      </w:pPr>
      <w:r w:rsidDel="00000000" w:rsidR="00000000" w:rsidRPr="00000000">
        <w:rPr>
          <w:rtl w:val="0"/>
        </w:rPr>
        <w:t xml:space="preserve">Объясните вероятный механизм мутаций в этом случае/в этом заболевании в целом/в этом типе заболеваний… (II уровень)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ind w:left="283.46456692913375" w:hanging="360"/>
        <w:rPr/>
      </w:pPr>
      <w:r w:rsidDel="00000000" w:rsidR="00000000" w:rsidRPr="00000000">
        <w:rPr>
          <w:rtl w:val="0"/>
        </w:rPr>
        <w:t xml:space="preserve">Объясните, как фенотипическая тяжесть этого заболевания в целом/ этого типа заболеваний… коррелирует с типом мутации (II уровень).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ind w:left="283.46456692913375" w:hanging="360"/>
        <w:rPr/>
      </w:pPr>
      <w:r w:rsidDel="00000000" w:rsidR="00000000" w:rsidRPr="00000000">
        <w:rPr>
          <w:rtl w:val="0"/>
        </w:rPr>
        <w:t xml:space="preserve">Обсудите возможные этические и правовые вопросы, касающиеся диагностики/профилактики/лечения этого случая/этого заболевания в целом/этого типа заболеваний ... (II уровень)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Обсудите возможные религиозные, культурные, социальные и этические убеждения и понимания, которые могут повлиять на решения, которые примет пациент/семья (II уровень).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ind w:left="283.46456692913375" w:hanging="360"/>
        <w:jc w:val="both"/>
        <w:rPr/>
      </w:pPr>
      <w:r w:rsidDel="00000000" w:rsidR="00000000" w:rsidRPr="00000000">
        <w:rPr>
          <w:rtl w:val="0"/>
        </w:rPr>
        <w:t xml:space="preserve">Объяснить клинический полиморфизм по типам мутаций данного заболевания (II уровень).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ind w:left="283.46456692913375" w:hanging="360"/>
        <w:jc w:val="both"/>
        <w:rPr/>
      </w:pPr>
      <w:r w:rsidDel="00000000" w:rsidR="00000000" w:rsidRPr="00000000">
        <w:rPr>
          <w:rtl w:val="0"/>
        </w:rPr>
        <w:t xml:space="preserve">Какова корреляция между фенотипом и генотипом? (II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Установите диагноз. Объясните, к какой группе генетических заболеваний относится этот случай? (III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Предложите и объясните стратегию оценки риска для этой семьи/пробанда/братьев и сестер ... (III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9"/>
        </w:numPr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Предложите генетические механизмы, влияющие на фенотип пробанда, и объясните ваши мысли? (III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9"/>
        </w:numPr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Предложите методы диагностики/профилактики/лечения этого случая/ этого заболевания в целом/этого типа заболеваний и объясните свою стратегию (III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Объяснить результаты генетического тестирования (III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Назовите другие расстройства, которые характеризуются такой степенью распространенности. Какие типы мутаций связаны с этими расстройствами? (III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Сравните и сопоставьте патологические механизмы этого заболевания в целом/этого типа заболеваний и соотнесите их с клинической картиной (III уровень).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0"/>
        <w:gridCol w:w="2130"/>
        <w:gridCol w:w="855"/>
        <w:gridCol w:w="1155"/>
        <w:gridCol w:w="825"/>
        <w:gridCol w:w="1065"/>
        <w:gridCol w:w="1455"/>
        <w:gridCol w:w="1110"/>
        <w:tblGridChange w:id="0">
          <w:tblGrid>
            <w:gridCol w:w="660"/>
            <w:gridCol w:w="2130"/>
            <w:gridCol w:w="855"/>
            <w:gridCol w:w="1155"/>
            <w:gridCol w:w="825"/>
            <w:gridCol w:w="1065"/>
            <w:gridCol w:w="1455"/>
            <w:gridCol w:w="1110"/>
          </w:tblGrid>
        </w:tblGridChange>
      </w:tblGrid>
      <w:tr>
        <w:trPr>
          <w:cantSplit w:val="0"/>
          <w:trHeight w:val="315" w:hRule="atLeast"/>
          <w:tblHeader w:val="1"/>
        </w:trPr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Вопрос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ind w:right="1080.7086614173227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Баллы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1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Вне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На уровне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Неполный ответ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Требуется исправление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нужно учить больше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ind w:right="169.6062992125990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Не сдал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Вопрос 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ind w:right="154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Вопрос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ind w:right="154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Вопрос III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ind w:right="154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ind w:right="154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right="104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right="95"/>
        <w:jc w:val="left"/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ОБЩАЯ ФАРМАКОЛОГИЯ</w:t>
      </w:r>
    </w:p>
    <w:p w:rsidR="00000000" w:rsidDel="00000000" w:rsidP="00000000" w:rsidRDefault="00000000" w:rsidRPr="00000000" w14:paraId="00000082">
      <w:pPr>
        <w:ind w:right="-46"/>
        <w:jc w:val="left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(</w:t>
      </w:r>
      <w:r w:rsidDel="00000000" w:rsidR="00000000" w:rsidRPr="00000000">
        <w:rPr>
          <w:b w:val="1"/>
          <w:highlight w:val="whit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ECTS)</w:t>
      </w:r>
    </w:p>
    <w:p w:rsidR="00000000" w:rsidDel="00000000" w:rsidP="00000000" w:rsidRDefault="00000000" w:rsidRPr="00000000" w14:paraId="00000083">
      <w:pPr>
        <w:ind w:right="1043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8" w:firstLine="0"/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Утвержденная форма итогового экзамена - письменный экзамен</w:t>
      </w:r>
    </w:p>
    <w:p w:rsidR="00000000" w:rsidDel="00000000" w:rsidP="00000000" w:rsidRDefault="00000000" w:rsidRPr="00000000" w14:paraId="00000085">
      <w:pPr>
        <w:ind w:left="8" w:firstLine="0"/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Темы, включенные в итоговый экзамен</w:t>
      </w:r>
    </w:p>
    <w:p w:rsidR="00000000" w:rsidDel="00000000" w:rsidP="00000000" w:rsidRDefault="00000000" w:rsidRPr="00000000" w14:paraId="00000086">
      <w:pPr>
        <w:ind w:left="8" w:firstLine="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Введение в фармакологию. Рецептура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5"/>
        </w:numPr>
        <w:spacing w:after="0" w:before="0" w:lineRule="auto"/>
        <w:ind w:left="720" w:hanging="360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Фармакокинетика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Фармакодинамика.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ПНС. Холинергические препараты.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Холинергические препараты. Холиноблокаторы. Реактиваторы холинэстеразы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5"/>
        </w:numPr>
        <w:spacing w:after="0" w:before="0" w:lineRule="auto"/>
        <w:ind w:left="720" w:hanging="360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ПНС. Адренергические препараты.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5"/>
        </w:numPr>
        <w:spacing w:after="0" w:before="0" w:lineRule="auto"/>
        <w:ind w:left="720" w:hanging="360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Адреноблокаторы. Антагонисты альфа и бета-адренорецепторов Симпатолитики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5"/>
        </w:numPr>
        <w:spacing w:after="0" w:before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Снотворные препараты.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5"/>
        </w:numPr>
        <w:spacing w:after="0" w:before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Противоаллергические препараты. Cтероидные противовоспалительные средства.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5"/>
        </w:numPr>
        <w:spacing w:after="0" w:before="0" w:lineRule="auto"/>
        <w:ind w:left="720" w:hanging="360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Антиангинальные препараты,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Антигипертензивные средства.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5"/>
        </w:numPr>
        <w:spacing w:after="0" w:before="0" w:lineRule="auto"/>
        <w:ind w:left="720" w:hanging="360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Фармакология системы кроветворения и гемостаза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5"/>
        </w:numPr>
        <w:spacing w:after="0" w:before="0" w:lineRule="auto"/>
        <w:ind w:left="720" w:hanging="360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Сахарный диабет. Противодиабетические средства.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5"/>
        </w:numPr>
        <w:spacing w:after="0" w:before="0" w:lineRule="auto"/>
        <w:ind w:left="720" w:hanging="360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Противовоспалительные препараты. Нестероидные противовоспалительные средства.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5"/>
        </w:numPr>
        <w:spacing w:after="0" w:before="0" w:lineRule="auto"/>
        <w:ind w:left="720" w:hanging="360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Опиоидная система. Опиоидные антагонисты. Лекарственная зависимость.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5"/>
        </w:numPr>
        <w:spacing w:after="0" w:before="0" w:lineRule="auto"/>
        <w:ind w:left="720" w:hanging="360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Антибиотики. Бета-лактамные антибиотики.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Антибиотики. Макролиды, Тетрациклины, Аминогликозиды. Пептидные антибиотики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Нитроимидазолы и нитрофураны. фторхинолоны. Сульфаниламиды. Триметоприм. Линезолид.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Противотуберкулезные средства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Противовирусные препараты. Лечение ВИЧ-инфекции.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Противогрибковые препараты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0" w:firstLine="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720" w:firstLine="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Список препаратов для повторения перед заключительным экзаменом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1. Адреналин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2. Норадреналин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3. Эналаприл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4. Ацетилсалицил қышқылы.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5. Метопролол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6. Лозартан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7. Гидрохлоротиазид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8. Актрапид инсулині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9. Инсулин NPH</w:t>
      </w:r>
    </w:p>
    <w:p w:rsidR="00000000" w:rsidDel="00000000" w:rsidP="00000000" w:rsidRDefault="00000000" w:rsidRPr="00000000" w14:paraId="000000A4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10. Флутиказон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11. Салбутамол (Альбутерол)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12. Амоксициллин/клавуланат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13. Кортизол (гидрокортизон)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14. Спиронолактон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15. Метформин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16. Неостигмин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17. Дексаметазон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18. Гепарин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19. Варфарин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20. Фуросемид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21. Цефтриаксон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22. Празозин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23. Нифедипин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24. Изониазид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25. Стрептомицин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26. Метронидазол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27. Ципрофлоксацин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28. Азитромицин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29. Гликлазид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30. Флуконазол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31. Ацикловир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32. Амфотерицин В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33. Рифампицин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34. Фуразолидон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35. Ко-тримоксазол.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36. Пиоглитазон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37. Морфин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38. Диклофенак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39. Ривароксабан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40. Нитроглицерин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41. Доксициклин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42. Ванкомицин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43 Интерферон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44. Лидокаин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45. Фенобарбитал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46. Золпидем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47. Лоратадин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48. Флутиказон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49. Недокромил натрия</w:t>
      </w:r>
    </w:p>
    <w:p w:rsidR="00000000" w:rsidDel="00000000" w:rsidP="00000000" w:rsidRDefault="00000000" w:rsidRPr="00000000" w14:paraId="000000CC">
      <w:pPr>
        <w:rPr/>
        <w:sectPr>
          <w:headerReference r:id="rId7" w:type="default"/>
          <w:pgSz w:h="16838" w:w="11906" w:orient="portrait"/>
          <w:pgMar w:bottom="1440" w:top="1440" w:left="1440" w:right="1440" w:header="708" w:footer="708"/>
          <w:pgNumType w:start="1"/>
        </w:sectPr>
      </w:pPr>
      <w:r w:rsidDel="00000000" w:rsidR="00000000" w:rsidRPr="00000000">
        <w:rPr>
          <w:rtl w:val="0"/>
        </w:rPr>
        <w:t xml:space="preserve">50. Супрастин</w:t>
      </w:r>
    </w:p>
    <w:p w:rsidR="00000000" w:rsidDel="00000000" w:rsidP="00000000" w:rsidRDefault="00000000" w:rsidRPr="00000000" w14:paraId="000000C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 окончании этого курса студенты приобретут следующие навыки:</w:t>
      </w:r>
    </w:p>
    <w:p w:rsidR="00000000" w:rsidDel="00000000" w:rsidP="00000000" w:rsidRDefault="00000000" w:rsidRPr="00000000" w14:paraId="000000CE">
      <w:pPr>
        <w:numPr>
          <w:ilvl w:val="0"/>
          <w:numId w:val="3"/>
        </w:numPr>
        <w:ind w:left="284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знание фармакокинетических параметров, механизмов всасывания и биотрансформации лекарств; </w:t>
      </w:r>
    </w:p>
    <w:p w:rsidR="00000000" w:rsidDel="00000000" w:rsidP="00000000" w:rsidRDefault="00000000" w:rsidRPr="00000000" w14:paraId="000000CF">
      <w:pPr>
        <w:numPr>
          <w:ilvl w:val="0"/>
          <w:numId w:val="3"/>
        </w:numPr>
        <w:ind w:left="284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применение знаний о фармакодинамике и механизмах действия лекарств при основных патологических процессах (влияющие на гемостаз и кроветворение, воспаление, инфекционный процесс, артериальная гипертензия, гипергликемия, артериальная гипотензия). Знать виды побочных реакций и понимать возможность их коррекции; </w:t>
      </w:r>
    </w:p>
    <w:p w:rsidR="00000000" w:rsidDel="00000000" w:rsidP="00000000" w:rsidRDefault="00000000" w:rsidRPr="00000000" w14:paraId="000000D0">
      <w:pPr>
        <w:numPr>
          <w:ilvl w:val="0"/>
          <w:numId w:val="3"/>
        </w:numPr>
        <w:ind w:left="284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продемонстрировать способность выявлять пробелы в обучении и разрабатывать стратегии для улучшения своих знаний и навыков;</w:t>
      </w:r>
    </w:p>
    <w:p w:rsidR="00000000" w:rsidDel="00000000" w:rsidP="00000000" w:rsidRDefault="00000000" w:rsidRPr="00000000" w14:paraId="000000D1">
      <w:pPr>
        <w:ind w:left="284" w:right="1925" w:hanging="284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18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17" w:right="-24" w:firstLine="3.0000000000000004"/>
        <w:jc w:val="center"/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Примерная типология экзаменационных заданий</w:t>
      </w:r>
    </w:p>
    <w:p w:rsidR="00000000" w:rsidDel="00000000" w:rsidP="00000000" w:rsidRDefault="00000000" w:rsidRPr="00000000" w14:paraId="000000D4">
      <w:pPr>
        <w:ind w:left="17" w:right="1925" w:firstLine="3.0000000000000004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left="6" w:right="419" w:firstLine="2.000000000000001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Часть1.</w:t>
      </w:r>
    </w:p>
    <w:p w:rsidR="00000000" w:rsidDel="00000000" w:rsidP="00000000" w:rsidRDefault="00000000" w:rsidRPr="00000000" w14:paraId="000000D6">
      <w:pPr>
        <w:ind w:left="6" w:right="419" w:firstLine="2.000000000000001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Ситуационная задача: </w:t>
      </w:r>
    </w:p>
    <w:p w:rsidR="00000000" w:rsidDel="00000000" w:rsidP="00000000" w:rsidRDefault="00000000" w:rsidRPr="00000000" w14:paraId="000000D7">
      <w:pPr>
        <w:ind w:left="16" w:firstLine="0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Пациент 75 лет, у которого повышенное артериальное давление успешно контролировалось приемом петлевых диуретиков, недавно обратился с жалобами на мышечную слабость, парестезии, диспептические расстройства, тахикардию. Из-за этих побочных эффектов он не может справляться со своей повседневной работой.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16" w:firstLine="0"/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16" w:firstLine="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Типы вопросов.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ind w:left="426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Расскажите о механизме действия препарата.</w:t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ind w:left="426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Объясните механизм побочного действия лекарств.</w:t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ind w:left="426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Объясните механизм взаимодействия лекарств.</w:t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ind w:left="426" w:right="429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Объясните фармакологическую основу перехода с одного препарата на другой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0"/>
          <w:numId w:val="1"/>
        </w:numPr>
        <w:ind w:left="426" w:right="429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Сравните механизм действия двух препаратов с аналогичным эффектом.</w:t>
      </w:r>
    </w:p>
    <w:p w:rsidR="00000000" w:rsidDel="00000000" w:rsidP="00000000" w:rsidRDefault="00000000" w:rsidRPr="00000000" w14:paraId="000000DF">
      <w:pPr>
        <w:numPr>
          <w:ilvl w:val="0"/>
          <w:numId w:val="1"/>
        </w:numPr>
        <w:ind w:left="426" w:right="429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Предложите агонист / антагонист гормона.</w:t>
      </w:r>
    </w:p>
    <w:p w:rsidR="00000000" w:rsidDel="00000000" w:rsidP="00000000" w:rsidRDefault="00000000" w:rsidRPr="00000000" w14:paraId="000000E0">
      <w:pPr>
        <w:numPr>
          <w:ilvl w:val="0"/>
          <w:numId w:val="1"/>
        </w:numPr>
        <w:ind w:left="426" w:right="171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Объясните механизм действия гормона и то, как лекарства могут на него повлиять.</w:t>
      </w:r>
    </w:p>
    <w:p w:rsidR="00000000" w:rsidDel="00000000" w:rsidP="00000000" w:rsidRDefault="00000000" w:rsidRPr="00000000" w14:paraId="000000E1">
      <w:pPr>
        <w:numPr>
          <w:ilvl w:val="0"/>
          <w:numId w:val="1"/>
        </w:numPr>
        <w:ind w:left="426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Опишите препарат - частичный агонист.</w:t>
      </w:r>
    </w:p>
    <w:p w:rsidR="00000000" w:rsidDel="00000000" w:rsidP="00000000" w:rsidRDefault="00000000" w:rsidRPr="00000000" w14:paraId="000000E2">
      <w:pPr>
        <w:numPr>
          <w:ilvl w:val="0"/>
          <w:numId w:val="1"/>
        </w:numPr>
        <w:ind w:left="426" w:right="194" w:hanging="42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Перечислите дополнительные лекарства, которые могут помочь в этом состоянии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0"/>
          <w:numId w:val="1"/>
        </w:numPr>
        <w:ind w:left="426" w:right="194" w:hanging="426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Объясните, как побочные эффекты связаны с механизмом действия лекарства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E4">
      <w:pPr>
        <w:numPr>
          <w:ilvl w:val="0"/>
          <w:numId w:val="1"/>
        </w:numPr>
        <w:ind w:left="426" w:right="194" w:hanging="426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Назовите препарат.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Часть 2. Написать рецепт</w:t>
      </w:r>
    </w:p>
    <w:p w:rsidR="00000000" w:rsidDel="00000000" w:rsidP="00000000" w:rsidRDefault="00000000" w:rsidRPr="00000000" w14:paraId="000000E7">
      <w:pPr>
        <w:numPr>
          <w:ilvl w:val="0"/>
          <w:numId w:val="8"/>
        </w:numPr>
        <w:ind w:left="720" w:right="1663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Эналаприл</w:t>
      </w:r>
    </w:p>
    <w:p w:rsidR="00000000" w:rsidDel="00000000" w:rsidP="00000000" w:rsidRDefault="00000000" w:rsidRPr="00000000" w14:paraId="000000E8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Амоксициллин / клавуланат </w:t>
      </w:r>
    </w:p>
    <w:p w:rsidR="00000000" w:rsidDel="00000000" w:rsidP="00000000" w:rsidRDefault="00000000" w:rsidRPr="00000000" w14:paraId="000000E9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Адреналин</w:t>
      </w:r>
    </w:p>
    <w:p w:rsidR="00000000" w:rsidDel="00000000" w:rsidP="00000000" w:rsidRDefault="00000000" w:rsidRPr="00000000" w14:paraId="000000EA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left="16" w:right="100" w:hanging="1.00000000000000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left="253" w:firstLine="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2"/>
        <w:tblW w:w="88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80"/>
        <w:gridCol w:w="915"/>
        <w:gridCol w:w="1170"/>
        <w:gridCol w:w="990"/>
        <w:gridCol w:w="1140"/>
        <w:gridCol w:w="1065"/>
        <w:gridCol w:w="1590"/>
        <w:tblGridChange w:id="0">
          <w:tblGrid>
            <w:gridCol w:w="1980"/>
            <w:gridCol w:w="915"/>
            <w:gridCol w:w="1170"/>
            <w:gridCol w:w="990"/>
            <w:gridCol w:w="1140"/>
            <w:gridCol w:w="1065"/>
            <w:gridCol w:w="159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Критерии</w:t>
            </w:r>
          </w:p>
        </w:tc>
        <w:tc>
          <w:tcPr>
            <w:tcBorders>
              <w:top w:color="000000" w:space="0" w:sz="12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Баллы</w:t>
            </w:r>
          </w:p>
        </w:tc>
        <w:tc>
          <w:tcPr>
            <w:tcBorders>
              <w:top w:color="000000" w:space="0" w:sz="12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ind w:right="154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Вне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На уровне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Неполный ответ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Требуется исправление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нужно учить больше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ind w:right="169.6062992125990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Не сдал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Ответ на 1 вопрос, связанный с определением лекарства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ind w:right="154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Механизм действия лекарства (некоторый эффект)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spacing w:line="276" w:lineRule="auto"/>
              <w:ind w:right="154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Сравнение лекарства с другими медикаментами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spacing w:line="276" w:lineRule="auto"/>
              <w:ind w:right="154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spacing w:line="276" w:lineRule="auto"/>
              <w:ind w:right="154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Рецепт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spacing w:line="276" w:lineRule="auto"/>
              <w:ind w:right="154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Рецепт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spacing w:line="276" w:lineRule="auto"/>
              <w:ind w:right="154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Рецепт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spacing w:line="276" w:lineRule="auto"/>
              <w:ind w:right="154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Итого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spacing w:line="276" w:lineRule="auto"/>
              <w:ind w:right="154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ind w:left="18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Инструкции по технологии проведения экзамена “ПИСЬМЕННЫЙ ЭКЗАМЕН:</w:t>
      </w:r>
    </w:p>
    <w:p w:rsidR="00000000" w:rsidDel="00000000" w:rsidP="00000000" w:rsidRDefault="00000000" w:rsidRPr="00000000" w14:paraId="0000013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ТРАДИЦИОННЫЙ – ОТВЕТЫ НА ВОПРОСЫ”.</w:t>
      </w:r>
    </w:p>
    <w:p w:rsidR="00000000" w:rsidDel="00000000" w:rsidP="00000000" w:rsidRDefault="00000000" w:rsidRPr="00000000" w14:paraId="00000137">
      <w:pPr>
        <w:ind w:left="18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Проводится оффлайн в аудитории.</w:t>
      </w:r>
    </w:p>
    <w:p w:rsidR="00000000" w:rsidDel="00000000" w:rsidP="00000000" w:rsidRDefault="00000000" w:rsidRPr="00000000" w14:paraId="0000013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Процесс сдачи письменного экзамена студентом предполагает автоматическое создание экзаменационного билета студенту, на который необходимо формировать письменный ответ путем прямого написания текста от руки.</w:t>
      </w:r>
    </w:p>
    <w:p w:rsidR="00000000" w:rsidDel="00000000" w:rsidP="00000000" w:rsidRDefault="00000000" w:rsidRPr="00000000" w14:paraId="0000013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Инструкции по технологии проведения экзамена</w:t>
      </w:r>
    </w:p>
    <w:p w:rsidR="00000000" w:rsidDel="00000000" w:rsidP="00000000" w:rsidRDefault="00000000" w:rsidRPr="00000000" w14:paraId="0000013B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Длительность экзамена составляет ровно 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часа.</w:t>
      </w:r>
    </w:p>
    <w:p w:rsidR="00000000" w:rsidDel="00000000" w:rsidP="00000000" w:rsidRDefault="00000000" w:rsidRPr="00000000" w14:paraId="0000013C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Экзамены в письменной форме проводятся согласно утвержденному расписанию.</w:t>
      </w:r>
    </w:p>
    <w:p w:rsidR="00000000" w:rsidDel="00000000" w:rsidP="00000000" w:rsidRDefault="00000000" w:rsidRPr="00000000" w14:paraId="0000013D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Вход обучающимся в аудиторию, где проводится письменный экзамен, разрешается только по документу, удостоверяющему личность (или студенческий билет). Запрещается присутствие лиц, не принимающих участие в процедуре проведения экзаменов.</w:t>
      </w:r>
    </w:p>
    <w:p w:rsidR="00000000" w:rsidDel="00000000" w:rsidP="00000000" w:rsidRDefault="00000000" w:rsidRPr="00000000" w14:paraId="0000013E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Проктор проводит сверку документа, удостоверяющего личность, с ведомостью допуска к экзамену. Студент, имеющий рейтинг-допуск по дисциплине менее 50%, к сдаче письменного экзамена не допускается.</w:t>
      </w:r>
    </w:p>
    <w:p w:rsidR="00000000" w:rsidDel="00000000" w:rsidP="00000000" w:rsidRDefault="00000000" w:rsidRPr="00000000" w14:paraId="0000013F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Запуск в аудиторию осуществляет проктор (по списку называет фамилии и рассаживает по списку).</w:t>
      </w:r>
    </w:p>
    <w:p w:rsidR="00000000" w:rsidDel="00000000" w:rsidP="00000000" w:rsidRDefault="00000000" w:rsidRPr="00000000" w14:paraId="00000140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Опоздавшие студенты к экзамену не допускаются.</w:t>
      </w:r>
    </w:p>
    <w:p w:rsidR="00000000" w:rsidDel="00000000" w:rsidP="00000000" w:rsidRDefault="00000000" w:rsidRPr="00000000" w14:paraId="00000141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Проктор выдает каждому обучающемуся лист ответа (при необходимости студент может взять дополнительный лист ответа) и предоставляет возможность студенту выбрать билет по сдаваемой дисциплине (при этом текст билета не должен быть виден студенту).</w:t>
      </w:r>
    </w:p>
    <w:p w:rsidR="00000000" w:rsidDel="00000000" w:rsidP="00000000" w:rsidRDefault="00000000" w:rsidRPr="00000000" w14:paraId="00000142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Студенты, присутствующие на экзамене, должны расписаться в ведомости допуска.</w:t>
      </w:r>
    </w:p>
    <w:p w:rsidR="00000000" w:rsidDel="00000000" w:rsidP="00000000" w:rsidRDefault="00000000" w:rsidRPr="00000000" w14:paraId="00000143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Время начала и окончания письменного экзамена фиксируется на доске.</w:t>
      </w:r>
    </w:p>
    <w:p w:rsidR="00000000" w:rsidDel="00000000" w:rsidP="00000000" w:rsidRDefault="00000000" w:rsidRPr="00000000" w14:paraId="00000144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 время письменного экзамена вопросы обучающихся по содержанию экзаменационных билетов не рассматриваются.</w:t>
      </w:r>
    </w:p>
    <w:p w:rsidR="00000000" w:rsidDel="00000000" w:rsidP="00000000" w:rsidRDefault="00000000" w:rsidRPr="00000000" w14:paraId="00000145">
      <w:pPr>
        <w:ind w:left="7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обучающийся не соблюдает установленные требования на экзамене: использует шпаргалки, мобильные и другие устройства, допускает дисциплинарные нарушения, мешает своими действиями другим обучающимся, проктор вправе удалить его из аудитории. В этом случае составляется акт о нарушении процедуры экзамена, лист ответов аннулируется путем перечеркивания по диагоналям, в ведомости допуска делается отметка «Удален за нарушение», в ведомости проставляется «0».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6">
      <w:pPr>
        <w:ind w:left="720" w:firstLine="0"/>
        <w:jc w:val="both"/>
        <w:rPr>
          <w:color w:val="202124"/>
          <w:shd w:fill="f8f9fa" w:val="clear"/>
        </w:rPr>
      </w:pPr>
      <w:r w:rsidDel="00000000" w:rsidR="00000000" w:rsidRPr="00000000">
        <w:rPr>
          <w:color w:val="202124"/>
          <w:shd w:fill="f8f9fa" w:val="clear"/>
          <w:rtl w:val="0"/>
        </w:rPr>
        <w:t xml:space="preserve">12. Допускается посещение студентом уборной не чаще 1 раза в час, продолжительностью не более 5 минут. При необходимости частого посещения туалета (например, по состоянию здоровья) студент должен пройти медицинский осмотр, и экзамен засчитывается как отсутствие студента на экзамене.</w:t>
      </w:r>
    </w:p>
    <w:p w:rsidR="00000000" w:rsidDel="00000000" w:rsidP="00000000" w:rsidRDefault="00000000" w:rsidRPr="00000000" w14:paraId="00000147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завершению экзамена студент должен сдать свой билет и лист ответов.</w:t>
      </w:r>
    </w:p>
    <w:p w:rsidR="00000000" w:rsidDel="00000000" w:rsidP="00000000" w:rsidRDefault="00000000" w:rsidRPr="00000000" w14:paraId="00000149">
      <w:pPr>
        <w:spacing w:line="276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14B">
      <w:pPr>
        <w:ind w:right="3724"/>
        <w:jc w:val="right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Система оценок</w:t>
      </w:r>
      <w:r w:rsidDel="00000000" w:rsidR="00000000" w:rsidRPr="00000000">
        <w:rPr>
          <w:rtl w:val="0"/>
        </w:rPr>
      </w:r>
    </w:p>
    <w:tbl>
      <w:tblPr>
        <w:tblStyle w:val="Table3"/>
        <w:tblW w:w="9487.0" w:type="dxa"/>
        <w:jc w:val="left"/>
        <w:tblInd w:w="10.0" w:type="dxa"/>
        <w:tblLayout w:type="fixed"/>
        <w:tblLook w:val="0400"/>
      </w:tblPr>
      <w:tblGrid>
        <w:gridCol w:w="1868"/>
        <w:gridCol w:w="3059"/>
        <w:gridCol w:w="1783"/>
        <w:gridCol w:w="2777"/>
        <w:tblGridChange w:id="0">
          <w:tblGrid>
            <w:gridCol w:w="1868"/>
            <w:gridCol w:w="3059"/>
            <w:gridCol w:w="1783"/>
            <w:gridCol w:w="2777"/>
          </w:tblGrid>
        </w:tblGridChange>
      </w:tblGrid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Буквенная оценка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Цифровой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ind w:right="186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эквивалент оценки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% содержание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Традиционная системная оценка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95–100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отлично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95.0" w:type="dxa"/>
        <w:jc w:val="left"/>
        <w:tblInd w:w="10.0" w:type="dxa"/>
        <w:tblLayout w:type="fixed"/>
        <w:tblLook w:val="0400"/>
      </w:tblPr>
      <w:tblGrid>
        <w:gridCol w:w="1875"/>
        <w:gridCol w:w="3075"/>
        <w:gridCol w:w="1770"/>
        <w:gridCol w:w="2775"/>
        <w:tblGridChange w:id="0">
          <w:tblGrid>
            <w:gridCol w:w="1875"/>
            <w:gridCol w:w="3075"/>
            <w:gridCol w:w="1770"/>
            <w:gridCol w:w="277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90-94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В 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85-89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хорошо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80-84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75-79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С 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highlight w:val="white"/>
                <w:rtl w:val="0"/>
              </w:rPr>
              <w:t xml:space="preserve">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70-74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65–69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удовлетворительно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60–64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55-59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ind w:right="768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          1,0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50-54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5-49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неудовлетворительно</w:t>
            </w:r>
          </w:p>
          <w:p w:rsidR="00000000" w:rsidDel="00000000" w:rsidP="00000000" w:rsidRDefault="00000000" w:rsidRPr="00000000" w14:paraId="0000017E">
            <w:pPr>
              <w:ind w:left="330" w:right="2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0-24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неудовлетворительно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1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(Incomplete)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ind w:right="28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«Дисциплина не завершена» (не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highlight w:val="white"/>
                <w:rtl w:val="0"/>
              </w:rPr>
              <w:t xml:space="preserve">принимается во внимание при подсчете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highlight w:val="white"/>
                <w:rtl w:val="0"/>
              </w:rPr>
              <w:t xml:space="preserve">GPA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highlight w:val="whit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8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189">
      <w:pP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18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Основная литература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numPr>
          <w:ilvl w:val="0"/>
          <w:numId w:val="10"/>
        </w:num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Ньюсбаум Р. Л., Макиннес Р. Р., Уиллард X. Ф. Медицинская генетика: учебник / Роберт Л. Ньюсбаум, Родерик Р. Макиннес, Хантингтон Ф.; Уиллард / редактор русского издания Н. П. Бочков; переводчик А. А. Туребеков. - М .: ГЭОТАР-Медиа, 2014. - 528б.</w:t>
      </w:r>
    </w:p>
    <w:p w:rsidR="00000000" w:rsidDel="00000000" w:rsidP="00000000" w:rsidRDefault="00000000" w:rsidRPr="00000000" w14:paraId="0000018D">
      <w:pPr>
        <w:numPr>
          <w:ilvl w:val="0"/>
          <w:numId w:val="10"/>
        </w:num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Медицинская биология и генетика. E.O. Куандыков ред. Алматы, 2004, 444 с.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Харкевич Д.А. «Фармакология» 2012 г.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ГЭОТАР-Медиа, 2016.-474с.</w:t>
      </w:r>
    </w:p>
    <w:p w:rsidR="00000000" w:rsidDel="00000000" w:rsidP="00000000" w:rsidRDefault="00000000" w:rsidRPr="00000000" w14:paraId="0000018F">
      <w:pPr>
        <w:numPr>
          <w:ilvl w:val="0"/>
          <w:numId w:val="10"/>
        </w:num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Абдырасулова ФБ «Общая рецептура» 2014 г.</w:t>
      </w:r>
    </w:p>
    <w:p w:rsidR="00000000" w:rsidDel="00000000" w:rsidP="00000000" w:rsidRDefault="00000000" w:rsidRPr="00000000" w14:paraId="00000190">
      <w:pPr>
        <w:ind w:left="42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19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Дополнительная 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ind w:left="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numPr>
          <w:ilvl w:val="0"/>
          <w:numId w:val="6"/>
        </w:numPr>
        <w:ind w:left="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Jorde, LB et al. (2016) Медицинская генетика. 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u w:val="single"/>
            <w:rtl w:val="0"/>
          </w:rPr>
          <w:t xml:space="preserve">Филадельфия, Пенсильвания: Эльзевир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numPr>
          <w:ilvl w:val="0"/>
          <w:numId w:val="6"/>
        </w:numPr>
        <w:ind w:left="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Элементы медицинской генетики Эмери (2017) Turnpenny, PD, Ellard S. 15th Edition, Elsevier</w:t>
      </w:r>
    </w:p>
    <w:p w:rsidR="00000000" w:rsidDel="00000000" w:rsidP="00000000" w:rsidRDefault="00000000" w:rsidRPr="00000000" w14:paraId="00000195">
      <w:pPr>
        <w:numPr>
          <w:ilvl w:val="0"/>
          <w:numId w:val="6"/>
        </w:numPr>
        <w:ind w:left="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Альбертс, Б. и др. (2015) Молекулярная биология клетки, 6-е издание. Нью-Йорк, Нью-Йорк: Наука о гирляндах</w:t>
      </w:r>
    </w:p>
    <w:p w:rsidR="00000000" w:rsidDel="00000000" w:rsidP="00000000" w:rsidRDefault="00000000" w:rsidRPr="00000000" w14:paraId="00000196">
      <w:pPr>
        <w:numPr>
          <w:ilvl w:val="0"/>
          <w:numId w:val="6"/>
        </w:numPr>
        <w:ind w:left="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Лодиш, Х. и др. (2016) Molecular Cell Biology, 8-е издание. WHFreeman</w:t>
      </w:r>
    </w:p>
    <w:p w:rsidR="00000000" w:rsidDel="00000000" w:rsidP="00000000" w:rsidRDefault="00000000" w:rsidRPr="00000000" w14:paraId="00000197">
      <w:pPr>
        <w:numPr>
          <w:ilvl w:val="0"/>
          <w:numId w:val="6"/>
        </w:numPr>
        <w:ind w:left="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Альбертс, Б. (2014) Essential Cell Biology, 4-е издание. Нью-Йорк, Нью-Йорк: Наука о гирляндах </w:t>
      </w:r>
    </w:p>
    <w:p w:rsidR="00000000" w:rsidDel="00000000" w:rsidP="00000000" w:rsidRDefault="00000000" w:rsidRPr="00000000" w14:paraId="00000198">
      <w:pPr>
        <w:numPr>
          <w:ilvl w:val="0"/>
          <w:numId w:val="6"/>
        </w:numPr>
        <w:ind w:left="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Hartwell, L. et al (2017) Генетика: от генов к геномам, 6-е издание. Нью-Йорк, штат Нью-Йорк: McGrawHill Education</w:t>
      </w:r>
    </w:p>
    <w:p w:rsidR="00000000" w:rsidDel="00000000" w:rsidP="00000000" w:rsidRDefault="00000000" w:rsidRPr="00000000" w14:paraId="00000199">
      <w:pPr>
        <w:numPr>
          <w:ilvl w:val="0"/>
          <w:numId w:val="6"/>
        </w:numPr>
        <w:ind w:left="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Конспект лекций USMLE Step 1 (2017): Биохимия и медицинская генетика.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00"/>
            <w:u w:val="single"/>
            <w:rtl w:val="0"/>
          </w:rPr>
          <w:t xml:space="preserve">Kaplan Publishing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York, NY: McGrawHill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Куандыков Е.Е., Нуралиева У. А. Основы общей и медицинской генетики (цикл лекций). Алматы: Эверо, 2009. 216 с.</w:t>
      </w:r>
    </w:p>
    <w:p w:rsidR="00000000" w:rsidDel="00000000" w:rsidP="00000000" w:rsidRDefault="00000000" w:rsidRPr="00000000" w14:paraId="0000019B">
      <w:pPr>
        <w:ind w:right="173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WWW ресурсы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ind w:right="173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numPr>
          <w:ilvl w:val="0"/>
          <w:numId w:val="2"/>
        </w:numPr>
        <w:ind w:left="0" w:right="158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OMIM® Online Mendelian Inheritance in Man® Интернет-каталог генов человека и генетических заболеваний 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highlight w:val="white"/>
          <w:u w:val="single"/>
          <w:rtl w:val="0"/>
        </w:rPr>
        <w:t xml:space="preserve">https://www.omim.org/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numPr>
          <w:ilvl w:val="0"/>
          <w:numId w:val="2"/>
        </w:numPr>
        <w:ind w:left="0" w:right="173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Реестр генетического тестирования (GTR®) 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highlight w:val="white"/>
          <w:rtl w:val="0"/>
        </w:rPr>
        <w:t xml:space="preserve">h 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highlight w:val="white"/>
          <w:u w:val="single"/>
          <w:rtl w:val="0"/>
        </w:rPr>
        <w:t xml:space="preserve">ttps: //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www.ncbi.nlm.nih.gov/gtr/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highlight w:val="white"/>
          <w:u w:val="singl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numPr>
          <w:ilvl w:val="0"/>
          <w:numId w:val="2"/>
        </w:numPr>
        <w:ind w:left="0" w:right="173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Genetics Home Reference. 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highlight w:val="white"/>
          <w:rtl w:val="0"/>
        </w:rPr>
        <w:t xml:space="preserve">ч 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highlight w:val="white"/>
          <w:u w:val="single"/>
          <w:rtl w:val="0"/>
        </w:rPr>
        <w:t xml:space="preserve">TTPS: //ghr.nlm.nih.gov/resources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numPr>
          <w:ilvl w:val="0"/>
          <w:numId w:val="2"/>
        </w:numPr>
        <w:ind w:left="0" w:right="173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ClinGen: Клиническая Геном ресурсов 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https://www.clinicalgenome.org/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highlight w:val="white"/>
          <w:u w:val="singl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numPr>
          <w:ilvl w:val="0"/>
          <w:numId w:val="2"/>
        </w:numPr>
        <w:ind w:left="0" w:right="173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Learn.Genetics 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highlight w:val="white"/>
          <w:u w:val="single"/>
          <w:rtl w:val="0"/>
        </w:rPr>
        <w:t xml:space="preserve">https://learn.genetics.utah.edu/content/ основы /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numPr>
          <w:ilvl w:val="0"/>
          <w:numId w:val="2"/>
        </w:numPr>
        <w:ind w:left="0" w:right="173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Ресурсы по клиническому генетическому образованию (курсы и лекции) 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highlight w:val="white"/>
          <w:u w:val="single"/>
          <w:rtl w:val="0"/>
        </w:rPr>
        <w:t xml:space="preserve">https://www.kumc.edu/gec/prof/genecour.html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numPr>
          <w:ilvl w:val="0"/>
          <w:numId w:val="2"/>
        </w:numPr>
        <w:ind w:left="0" w:right="6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Образовательная программа по геномике. 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https://www.genomicseducation.hee.nhs.uk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highlight w:val="white"/>
          <w:u w:val="singl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numPr>
          <w:ilvl w:val="0"/>
          <w:numId w:val="2"/>
        </w:numPr>
        <w:ind w:left="0" w:right="6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Учебная программа ELSEVIER «Клиническое обучение», 2018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numPr>
          <w:ilvl w:val="0"/>
          <w:numId w:val="2"/>
        </w:numPr>
        <w:shd w:fill="ffffff" w:val="clear"/>
        <w:ind w:left="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55cc"/>
          <w:highlight w:val="white"/>
          <w:u w:val="single"/>
          <w:rtl w:val="0"/>
        </w:rPr>
        <w:t xml:space="preserve">https://www.msdmanuals.com/professional/clinical-pharmacology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" w:top="1440" w:left="1440" w:right="1418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clinicalgenome.org/" TargetMode="External"/><Relationship Id="rId10" Type="http://schemas.openxmlformats.org/officeDocument/2006/relationships/hyperlink" Target="http://www.ncbi.nlm.nih.gov/gtr/" TargetMode="External"/><Relationship Id="rId12" Type="http://schemas.openxmlformats.org/officeDocument/2006/relationships/hyperlink" Target="https://www.genomicseducation.hee.nhs.uk" TargetMode="External"/><Relationship Id="rId9" Type="http://schemas.openxmlformats.org/officeDocument/2006/relationships/hyperlink" Target="https://translate.google.com/translate?hl=ru&amp;prev=_t&amp;sl=en&amp;tl=ru&amp;u=https://www.bookdepository.com/publishers/Kaplan-Publish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yperlink" Target="https://translate.google.com/translate?hl=ru&amp;prev=_t&amp;sl=en&amp;tl=ru&amp;u=http://cat.lib.unimelb.edu.au/search~S30%3F/hElsevier%252C/helsevier/-3,-1,0,B/brow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